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57"/>
        <w:jc w:val="left"/>
        <w:rPr/>
      </w:pPr>
      <w:r>
        <w:rPr/>
        <w:t>Procuration sur compte bancaire</w:t>
      </w:r>
    </w:p>
    <w:p>
      <w:pPr>
        <w:pStyle w:val="BodyTextsub"/>
        <w:bidi w:val="0"/>
        <w:jc w:val="left"/>
        <w:rPr/>
      </w:pPr>
      <w:r>
        <w:rPr/>
        <w:t>Modèle à remplir — articles 1984 et suivants du code civil · juricentral.com</w:t>
      </w:r>
    </w:p>
    <w:p>
      <w:pPr>
        <w:pStyle w:val="HorizontalLine"/>
        <w:bidi w:val="0"/>
        <w:jc w:val="left"/>
        <w:rPr/>
      </w:pPr>
      <w:r>
        <w:rPr/>
      </w:r>
    </w:p>
    <w:p>
      <w:pPr>
        <w:pStyle w:val="BodyText"/>
        <w:bidi w:val="0"/>
        <w:spacing w:before="0" w:after="170"/>
        <w:ind w:hanging="0" w:left="0" w:right="0"/>
        <w:jc w:val="left"/>
        <w:rPr/>
      </w:pPr>
      <w:r>
        <w:rPr/>
        <w:t>1. Le titulaire du compte (mandant)</w:t>
      </w:r>
    </w:p>
    <w:p>
      <w:pPr>
        <w:pStyle w:val="BodyText"/>
        <w:bidi w:val="0"/>
        <w:spacing w:before="0" w:after="108"/>
        <w:ind w:hanging="0" w:left="0" w:right="0"/>
        <w:jc w:val="left"/>
        <w:rPr/>
      </w:pPr>
      <w:r>
        <w:rPr/>
        <w:t>Titulaire — Nom et prénom</w:t>
      </w:r>
    </w:p>
    <w:p>
      <w:pPr>
        <w:pStyle w:val="BodyText"/>
        <w:bidi w:val="0"/>
        <w:spacing w:before="0" w:after="108"/>
        <w:ind w:hanging="0" w:left="0" w:right="0"/>
        <w:jc w:val="left"/>
        <w:rPr/>
      </w:pPr>
      <w:r>
        <w:rPr/>
        <w:t>Né(e) le, à</w:t>
      </w:r>
    </w:p>
    <w:p>
      <w:pPr>
        <w:pStyle w:val="BodyText"/>
        <w:bidi w:val="0"/>
        <w:spacing w:before="0" w:after="108"/>
        <w:ind w:hanging="0" w:left="0" w:right="0"/>
        <w:jc w:val="left"/>
        <w:rPr/>
      </w:pPr>
      <w:r>
        <w:rPr/>
        <w:t>Adresse</w:t>
      </w:r>
    </w:p>
    <w:p>
      <w:pPr>
        <w:pStyle w:val="BodyText"/>
        <w:bidi w:val="0"/>
        <w:spacing w:before="0" w:after="108"/>
        <w:ind w:hanging="0" w:left="0" w:right="0"/>
        <w:jc w:val="left"/>
        <w:rPr/>
      </w:pPr>
      <w:r>
        <w:rPr/>
        <w:t>Pièce d'identité (type et n°)</w:t>
      </w:r>
    </w:p>
    <w:p>
      <w:pPr>
        <w:pStyle w:val="BodyText"/>
        <w:bidi w:val="0"/>
        <w:spacing w:before="0" w:after="170"/>
        <w:ind w:hanging="0" w:left="0" w:right="0"/>
        <w:jc w:val="left"/>
        <w:rPr/>
      </w:pPr>
      <w:r>
        <w:rPr/>
        <w:t>2. Le mandataire</w:t>
      </w:r>
    </w:p>
    <w:p>
      <w:pPr>
        <w:pStyle w:val="BodyText"/>
        <w:bidi w:val="0"/>
        <w:spacing w:before="0" w:after="108"/>
        <w:ind w:hanging="0" w:left="0" w:right="0"/>
        <w:jc w:val="left"/>
        <w:rPr/>
      </w:pPr>
      <w:r>
        <w:rPr/>
        <w:t>Mandataire — Nom et prénom</w:t>
      </w:r>
    </w:p>
    <w:p>
      <w:pPr>
        <w:pStyle w:val="BodyText"/>
        <w:bidi w:val="0"/>
        <w:spacing w:before="0" w:after="108"/>
        <w:ind w:hanging="0" w:left="0" w:right="0"/>
        <w:jc w:val="left"/>
        <w:rPr/>
      </w:pPr>
      <w:r>
        <w:rPr/>
        <w:t>Né(e) le, à</w:t>
      </w:r>
    </w:p>
    <w:p>
      <w:pPr>
        <w:pStyle w:val="BodyText"/>
        <w:bidi w:val="0"/>
        <w:spacing w:before="0" w:after="108"/>
        <w:ind w:hanging="0" w:left="0" w:right="0"/>
        <w:jc w:val="left"/>
        <w:rPr/>
      </w:pPr>
      <w:r>
        <w:rPr/>
        <w:t>Adresse</w:t>
      </w:r>
    </w:p>
    <w:p>
      <w:pPr>
        <w:pStyle w:val="BodyText"/>
        <w:bidi w:val="0"/>
        <w:spacing w:before="0" w:after="108"/>
        <w:ind w:hanging="0" w:left="0" w:right="0"/>
        <w:jc w:val="left"/>
        <w:rPr/>
      </w:pPr>
      <w:r>
        <w:rPr/>
        <w:t>Pièce d'identité (type et n°)</w:t>
      </w:r>
    </w:p>
    <w:p>
      <w:pPr>
        <w:pStyle w:val="BodyText"/>
        <w:bidi w:val="0"/>
        <w:spacing w:before="0" w:after="170"/>
        <w:ind w:hanging="0" w:left="0" w:right="0"/>
        <w:jc w:val="left"/>
        <w:rPr/>
      </w:pPr>
      <w:r>
        <w:rPr/>
        <w:t>3. Le compte concerné</w:t>
      </w:r>
    </w:p>
    <w:p>
      <w:pPr>
        <w:pStyle w:val="BodyText"/>
        <w:bidi w:val="0"/>
        <w:spacing w:before="0" w:after="108"/>
        <w:ind w:hanging="0" w:left="0" w:right="0"/>
        <w:jc w:val="left"/>
        <w:rPr/>
      </w:pPr>
      <w:r>
        <w:rPr/>
        <w:t>Établissement et agence</w:t>
      </w:r>
    </w:p>
    <w:p>
      <w:pPr>
        <w:pStyle w:val="BodyText"/>
        <w:bidi w:val="0"/>
        <w:spacing w:before="0" w:after="108"/>
        <w:ind w:hanging="0" w:left="0" w:right="0"/>
        <w:jc w:val="left"/>
        <w:rPr/>
      </w:pPr>
      <w:r>
        <w:rPr/>
        <w:t>IBAN ou numéro de compte</w:t>
      </w:r>
    </w:p>
    <w:p>
      <w:pPr>
        <w:pStyle w:val="BodyText"/>
        <w:bidi w:val="0"/>
        <w:spacing w:before="0" w:after="170"/>
        <w:ind w:hanging="0" w:left="0" w:right="0"/>
        <w:jc w:val="left"/>
        <w:rPr/>
      </w:pPr>
      <w:r>
        <w:rPr/>
        <w:t>4. Opérations autorisées — rayer celles qui ne le sont pas</w:t>
      </w:r>
    </w:p>
    <w:p>
      <w:pPr>
        <w:pStyle w:val="BodyText"/>
        <w:bidi w:val="0"/>
        <w:spacing w:before="0" w:after="108"/>
        <w:ind w:hanging="0" w:left="0" w:right="0"/>
        <w:jc w:val="left"/>
        <w:rPr/>
      </w:pPr>
      <w:r>
        <w:rPr/>
        <w:t>Dépôts et retraits d'espèces</w:t>
      </w:r>
    </w:p>
    <w:p>
      <w:pPr>
        <w:pStyle w:val="BodyText"/>
        <w:bidi w:val="0"/>
        <w:spacing w:before="0" w:after="108"/>
        <w:ind w:hanging="0" w:left="0" w:right="0"/>
        <w:jc w:val="left"/>
        <w:rPr/>
      </w:pPr>
      <w:r>
        <w:rPr/>
        <w:t>Émission et endossement de chèques</w:t>
      </w:r>
    </w:p>
    <w:p>
      <w:pPr>
        <w:pStyle w:val="BodyText"/>
        <w:bidi w:val="0"/>
        <w:spacing w:before="0" w:after="108"/>
        <w:ind w:hanging="0" w:left="0" w:right="0"/>
        <w:jc w:val="left"/>
        <w:rPr/>
      </w:pPr>
      <w:r>
        <w:rPr/>
        <w:t>Virements vers les autres comptes du titulaire</w:t>
      </w:r>
    </w:p>
    <w:p>
      <w:pPr>
        <w:pStyle w:val="BodyText"/>
        <w:bidi w:val="0"/>
        <w:spacing w:before="0" w:after="108"/>
        <w:ind w:hanging="0" w:left="0" w:right="0"/>
        <w:jc w:val="left"/>
        <w:rPr/>
      </w:pPr>
      <w:r>
        <w:rPr/>
        <w:t>Autre (préciser)</w:t>
      </w:r>
    </w:p>
    <w:p>
      <w:pPr>
        <w:pStyle w:val="BodyText"/>
        <w:bidi w:val="0"/>
        <w:spacing w:before="0" w:after="108"/>
        <w:ind w:hanging="0" w:left="0" w:right="0"/>
        <w:jc w:val="left"/>
        <w:rPr/>
      </w:pPr>
      <w:r>
        <w:rPr/>
        <w:t>Plafond éventuel par opération ou par mois</w:t>
      </w:r>
    </w:p>
    <w:p>
      <w:pPr>
        <w:pStyle w:val="BodyText"/>
        <w:bidi w:val="0"/>
        <w:spacing w:before="0" w:after="170"/>
        <w:ind w:hanging="0" w:left="0" w:right="0"/>
        <w:jc w:val="left"/>
        <w:rPr/>
      </w:pPr>
      <w:r>
        <w:rPr/>
        <w:t>5. Durée</w:t>
      </w:r>
    </w:p>
    <w:p>
      <w:pPr>
        <w:pStyle w:val="BodyText"/>
        <w:bidi w:val="0"/>
        <w:spacing w:before="0" w:after="108"/>
        <w:ind w:hanging="0" w:left="0" w:right="0"/>
        <w:jc w:val="left"/>
        <w:rPr/>
      </w:pPr>
      <w:r>
        <w:rPr/>
        <w:t>À compter du</w:t>
      </w:r>
    </w:p>
    <w:p>
      <w:pPr>
        <w:pStyle w:val="BodyText"/>
        <w:bidi w:val="0"/>
        <w:spacing w:before="0" w:after="108"/>
        <w:ind w:hanging="0" w:left="0" w:right="0"/>
        <w:jc w:val="left"/>
        <w:rPr/>
      </w:pPr>
      <w:r>
        <w:rPr/>
        <w:t>Jusqu'au</w:t>
      </w:r>
    </w:p>
    <w:p>
      <w:pPr>
        <w:pStyle w:val="BodyText"/>
        <w:bidi w:val="0"/>
        <w:spacing w:before="142" w:after="142"/>
        <w:ind w:hanging="0" w:left="142" w:right="142"/>
        <w:jc w:val="left"/>
        <w:rPr>
          <w:color w:val="333333"/>
          <w:sz w:val="16"/>
          <w:bdr w:val="single" w:sz="12" w:space="7" w:color="1B3A5C"/>
        </w:rPr>
      </w:pPr>
      <w:r>
        <w:rPr>
          <w:color w:val="333333"/>
          <w:sz w:val="16"/>
          <w:bdr w:val="single" w:sz="12" w:space="7" w:color="1B3A5C"/>
        </w:rPr>
        <w:t xml:space="preserve">Le mandataire n'acquiert aucun droit de propriété sur les fonds et rend compte de sa gestion (art. 1993 c. civ.). Sont exclus, sauf mandat exprès, la clôture du compte, la souscription de tout crédit et la modification des clauses bénéficiaires (art. 1988 c. civ.). La procuration est révocable à tout moment (art. 2004 c. civ.) et </w:t>
      </w:r>
      <w:r>
        <w:rPr>
          <w:b/>
          <w:color w:val="333333"/>
          <w:sz w:val="16"/>
          <w:bdr w:val="single" w:sz="12" w:space="7" w:color="1B3A5C"/>
        </w:rPr>
        <w:t>prend fin de plein droit au décès du titulaire</w:t>
      </w:r>
      <w:r>
        <w:rPr>
          <w:color w:val="333333"/>
          <w:sz w:val="16"/>
          <w:bdr w:val="single" w:sz="12" w:space="7" w:color="1B3A5C"/>
        </w:rPr>
        <w:t xml:space="preserve"> (art. 2003 c. civ.).</w:t>
      </w:r>
    </w:p>
    <w:p>
      <w:pPr>
        <w:pStyle w:val="BodyText"/>
        <w:bidi w:val="0"/>
        <w:spacing w:before="227" w:after="283"/>
        <w:ind w:hanging="0" w:left="0" w:right="0"/>
        <w:jc w:val="left"/>
        <w:rPr/>
      </w:pPr>
      <w:r>
        <w:rPr/>
        <w:t>Fait à ……………………, le ………………</w:t>
        <w:br/>
        <w:t>« Bon pour pouvoir »</w:t>
      </w:r>
    </w:p>
    <w:p>
      <w:pPr>
        <w:pStyle w:val="BodyText"/>
        <w:bidi w:val="0"/>
        <w:spacing w:before="227" w:after="283"/>
        <w:jc w:val="left"/>
        <w:rPr/>
      </w:pPr>
      <w:r>
        <w:rPr/>
        <w:t>Signature du titulaire</w:t>
      </w:r>
    </w:p>
    <w:p>
      <w:pPr>
        <w:pStyle w:val="BodyText"/>
        <w:bidi w:val="0"/>
        <w:spacing w:before="227" w:after="283"/>
        <w:jc w:val="left"/>
        <w:rPr/>
      </w:pPr>
      <w:r>
        <w:rPr/>
        <w:t>Spécimen de signature</w:t>
        <w:br/>
        <w:t>« Bon pour acceptation de pouvoir »</w:t>
      </w:r>
    </w:p>
    <w:p>
      <w:pPr>
        <w:pStyle w:val="BodyText"/>
        <w:bidi w:val="0"/>
        <w:spacing w:before="227" w:after="283"/>
        <w:jc w:val="left"/>
        <w:rPr/>
      </w:pPr>
      <w:r>
        <w:rPr/>
        <w:t>Signature du mandataire</w:t>
      </w:r>
    </w:p>
    <w:p>
      <w:pPr>
        <w:pStyle w:val="BodyText"/>
        <w:bidi w:val="0"/>
        <w:spacing w:before="227" w:after="283"/>
        <w:ind w:hanging="0" w:left="0" w:right="0"/>
        <w:jc w:val="left"/>
        <w:rPr>
          <w:color w:val="555555"/>
          <w:sz w:val="15"/>
          <w:bdr w:val="single" w:sz="2" w:space="5" w:color="BBBBBB"/>
        </w:rPr>
      </w:pPr>
      <w:r>
        <w:rPr>
          <w:color w:val="555555"/>
          <w:sz w:val="15"/>
          <w:bdr w:val="single" w:sz="2" w:space="5" w:color="BBBBBB"/>
        </w:rPr>
        <w:t>Modèle gratuit — juricentral.com. La plupart des banques enregistrent la procuration sur leur propre formulaire ; ce document exprime votre volonté et prépare l'entretien. Contenu informatif, ne constitue pas un conseil juridique personnalisé.</w:t>
      </w:r>
    </w:p>
    <w:sectPr>
      <w:type w:val="nextPage"/>
      <w:pgSz w:w="11906" w:h="16838"/>
      <w:pgMar w:left="907" w:right="907" w:gutter="0" w:header="0" w:top="794" w:footer="0" w:bottom="794"/>
      <w:pgNumType w:fmt="decimal"/>
      <w:formProt w:val="false"/>
      <w:textDirection w:val="lrTb"/>
      <w:docGrid w:type="default" w:linePitch="600" w:charSpace="4014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auto"/>
    <w:pitch w:val="default"/>
  </w:font>
  <w:font w:name="Noto Sans">
    <w:charset w:val="01"/>
    <w:family w:val="auto"/>
    <w:pitch w:val="variable"/>
  </w:font>
  <w:font w:name="Liberation Sans">
    <w:altName w:val="Arial"/>
    <w:charset w:val="01"/>
    <w:family w:val="swiss"/>
    <w:pitch w:val="variable"/>
  </w:font>
</w:fonts>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321"/>
    </w:pPr>
    <w:rPr>
      <w:rFonts w:ascii="Liberation Serif;Times New Roman;serif" w:hAnsi="Liberation Serif;Times New Roman;serif" w:eastAsia="Liberation Serif;Times New Roman;serif" w:cs="Liberation Serif;Times New Roman;serif"/>
      <w:color w:val="111111"/>
      <w:sz w:val="20"/>
      <w:szCs w:val="20"/>
      <w:lang w:val="en-US" w:eastAsia="zh-CN" w:bidi="hi-IN"/>
    </w:rPr>
  </w:style>
  <w:style w:type="paragraph" w:styleId="Heading1">
    <w:name w:val="Heading 1"/>
    <w:basedOn w:val="Heading"/>
    <w:next w:val="BodyText"/>
    <w:qFormat/>
    <w:pPr>
      <w:spacing w:before="240" w:after="57"/>
    </w:pPr>
    <w:rPr>
      <w:rFonts w:ascii="Noto Sans" w:hAnsi="Noto Sans"/>
      <w:b/>
      <w:bCs/>
      <w:sz w:val="30"/>
      <w:szCs w:val="30"/>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70"/>
    </w:pPr>
    <w:rPr>
      <w:color w:val="444444"/>
      <w:sz w:val="17"/>
      <w:szCs w:val="17"/>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JuriCentral</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JuriCentral</dc:creator>
  <dc:description/>
  <dc:language>fr-FR</dc:language>
  <cp:lastModifiedBy>JuriCentral</cp:lastModifiedBy>
  <cp:revision>0</cp:revision>
  <dc:subject/>
  <dc:title/>
</cp:coreProperties>
</file>

<file path=docProps/custom.xml><?xml version="1.0" encoding="utf-8"?>
<Properties xmlns="http://schemas.openxmlformats.org/officeDocument/2006/custom-properties" xmlns:vt="http://schemas.openxmlformats.org/officeDocument/2006/docPropsVTypes"/>
</file>